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4E77" w14:textId="3EB9ADE5" w:rsidR="00840C40" w:rsidRPr="0009531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Estimado/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contribuyente:</w:t>
      </w:r>
    </w:p>
    <w:p w14:paraId="4CE6F1AA" w14:textId="77777777" w:rsidR="00840C40" w:rsidRPr="00095316" w:rsidRDefault="00840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</w:p>
    <w:p w14:paraId="52D1D6B5" w14:textId="44FA8F8C" w:rsidR="00840C40" w:rsidRPr="0009531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La Ley 7/2022, de residuos y suelos contaminados para una economía circular, obliga a 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t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odos los Ayuntamientos a cobrar un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tasa específica para cubrir los costes de los servicios de recogida y tratamiento de los residuos que gener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amos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los ribereños</w:t>
      </w:r>
      <w:r w:rsidR="00973B9F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, denominada </w:t>
      </w:r>
      <w:r w:rsidR="00973B9F" w:rsidRPr="00973B9F">
        <w:rPr>
          <w:rFonts w:ascii="Times New Roman" w:hAnsi="Times New Roman" w:cs="Times New Roman"/>
          <w:kern w:val="0"/>
          <w:sz w:val="26"/>
          <w:szCs w:val="26"/>
          <w:lang w:val="es-ES_tradnl"/>
        </w:rPr>
        <w:t>Tasa de Gestión de Residuos</w:t>
      </w:r>
      <w:r w:rsidR="00973B9F">
        <w:rPr>
          <w:rFonts w:ascii="Times New Roman" w:hAnsi="Times New Roman" w:cs="Times New Roman"/>
          <w:kern w:val="0"/>
          <w:sz w:val="26"/>
          <w:szCs w:val="26"/>
          <w:lang w:val="es-ES_tradnl"/>
        </w:rPr>
        <w:t>.</w:t>
      </w:r>
    </w:p>
    <w:p w14:paraId="5726B053" w14:textId="77777777" w:rsidR="00840C40" w:rsidRPr="00095316" w:rsidRDefault="00840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</w:p>
    <w:p w14:paraId="02474070" w14:textId="77777777" w:rsidR="00840C40" w:rsidRPr="00095316" w:rsidRDefault="00000000">
      <w:pPr>
        <w:pStyle w:val="Prrafode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>¿Puede el Ayuntamiento de Aranjuez no cobrar esta tasa?: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No. La tasa es obligatoria por una Ley estatal aprobada por las Cortes Generales a iniciativa del Gobierno de España y hay que aplicarla.</w:t>
      </w:r>
    </w:p>
    <w:p w14:paraId="027FCBD4" w14:textId="77777777" w:rsidR="00840C40" w:rsidRPr="004117B7" w:rsidRDefault="00840C40" w:rsidP="004117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</w:p>
    <w:p w14:paraId="7BBB2DE6" w14:textId="174D5594" w:rsidR="00840C40" w:rsidRPr="00095316" w:rsidRDefault="00000000">
      <w:pPr>
        <w:pStyle w:val="Prrafode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>¿Est</w:t>
      </w:r>
      <w:r w:rsidR="009F76AC"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 xml:space="preserve"> tasa no se cobra ya con el IBI?: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No. El IBI es un impuesto obligatorio que pagan los propietarios de las viviendas, oficinas, comercios, industrias, etc. </w:t>
      </w:r>
    </w:p>
    <w:p w14:paraId="56DCD5FF" w14:textId="77777777" w:rsidR="00840C40" w:rsidRPr="00095316" w:rsidRDefault="00840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</w:p>
    <w:p w14:paraId="710A7D29" w14:textId="0F7EBE2B" w:rsidR="00840C40" w:rsidRPr="00095316" w:rsidRDefault="00000000">
      <w:pPr>
        <w:pStyle w:val="Prrafode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>¿Por qué se utiliza el valor catastral para calcular la cuota de esta tasa, además de los datos de residuos generados?: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La tasa, como todos los tributos, también debe tener en cuenta l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capacidad económica de los contribuyentes, por lo que debe calcularse en proporción 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la capacidad para pagarla, en función de sus ingresos o propiedades. El valor catastral de un inmueble es un dato consolidado para definir l</w:t>
      </w:r>
      <w:r w:rsidR="009F76AC"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>a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capacidad económica de su propietario.</w:t>
      </w:r>
    </w:p>
    <w:p w14:paraId="3A7092D1" w14:textId="77777777" w:rsidR="00840C40" w:rsidRPr="00095316" w:rsidRDefault="00840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</w:p>
    <w:p w14:paraId="39FDE609" w14:textId="77777777" w:rsidR="00305C56" w:rsidRDefault="00000000" w:rsidP="00305C56">
      <w:pPr>
        <w:pStyle w:val="Prrafode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095316">
        <w:rPr>
          <w:rFonts w:ascii="Times New Roman" w:hAnsi="Times New Roman" w:cs="Times New Roman"/>
          <w:b/>
          <w:bCs/>
          <w:kern w:val="0"/>
          <w:sz w:val="26"/>
          <w:szCs w:val="26"/>
          <w:lang w:val="es-ES_tradnl"/>
        </w:rPr>
        <w:t>¿Quién tiene que pagar la tasa?:</w:t>
      </w:r>
      <w:r w:rsidRPr="00095316">
        <w:rPr>
          <w:rFonts w:ascii="Times New Roman" w:hAnsi="Times New Roman" w:cs="Times New Roman"/>
          <w:kern w:val="0"/>
          <w:sz w:val="26"/>
          <w:szCs w:val="26"/>
          <w:lang w:val="es-ES_tradnl"/>
        </w:rPr>
        <w:t xml:space="preserve"> El propietario del inmueble. Cuando el inmueble esté alquilado, el propietario podrá exigir al inquilino que le abone la cantidad pagada por la tasa.</w:t>
      </w:r>
    </w:p>
    <w:p w14:paraId="5C6EC0A8" w14:textId="77777777" w:rsidR="00305C56" w:rsidRPr="00305C56" w:rsidRDefault="00305C56" w:rsidP="00305C56">
      <w:pPr>
        <w:pStyle w:val="Prrafodelista"/>
        <w:rPr>
          <w:rFonts w:ascii="Times New Roman" w:hAnsi="Times New Roman"/>
          <w:b/>
          <w:sz w:val="26"/>
          <w:szCs w:val="26"/>
        </w:rPr>
      </w:pPr>
    </w:p>
    <w:p w14:paraId="7B6B3241" w14:textId="43F8C72D" w:rsidR="00305C56" w:rsidRPr="00305C56" w:rsidRDefault="00305C56" w:rsidP="00305C56">
      <w:pPr>
        <w:pStyle w:val="Prrafode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kern w:val="0"/>
          <w:sz w:val="26"/>
          <w:szCs w:val="26"/>
          <w:lang w:val="es-ES_tradnl"/>
        </w:rPr>
      </w:pPr>
      <w:r w:rsidRPr="00305C56">
        <w:rPr>
          <w:rFonts w:ascii="Times New Roman" w:hAnsi="Times New Roman"/>
          <w:b/>
          <w:sz w:val="26"/>
          <w:szCs w:val="26"/>
        </w:rPr>
        <w:t xml:space="preserve">¿Qué bonificaciones hay? </w:t>
      </w:r>
    </w:p>
    <w:p w14:paraId="1968AE39" w14:textId="77777777" w:rsidR="00305C56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</w:p>
    <w:p w14:paraId="5A73EBA3" w14:textId="33313EB1" w:rsidR="00305C56" w:rsidRPr="00305C56" w:rsidRDefault="00305C56" w:rsidP="00305C56">
      <w:pPr>
        <w:pStyle w:val="Prrafodelista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305C56">
        <w:rPr>
          <w:rFonts w:ascii="Times New Roman" w:hAnsi="Times New Roman"/>
          <w:bCs/>
          <w:sz w:val="26"/>
          <w:szCs w:val="26"/>
        </w:rPr>
        <w:t>Personas en situación de </w:t>
      </w:r>
      <w:r w:rsidRPr="00305C56">
        <w:rPr>
          <w:rFonts w:ascii="Times New Roman" w:hAnsi="Times New Roman"/>
          <w:b/>
          <w:bCs/>
          <w:sz w:val="26"/>
          <w:szCs w:val="26"/>
        </w:rPr>
        <w:t xml:space="preserve">vulnerabilidad económica, </w:t>
      </w:r>
      <w:r w:rsidRPr="00305C56">
        <w:rPr>
          <w:rFonts w:ascii="Times New Roman" w:hAnsi="Times New Roman"/>
          <w:sz w:val="26"/>
          <w:szCs w:val="26"/>
        </w:rPr>
        <w:t>95% de reducción de la cuota.</w:t>
      </w:r>
    </w:p>
    <w:p w14:paraId="266C8356" w14:textId="77777777" w:rsidR="00305C56" w:rsidRDefault="00305C56" w:rsidP="00305C56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C23A801" w14:textId="5B6C9F8F" w:rsidR="00305C56" w:rsidRPr="00305C56" w:rsidRDefault="00305C56" w:rsidP="00305C56">
      <w:pPr>
        <w:pStyle w:val="Prrafodelista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305C56">
        <w:rPr>
          <w:rFonts w:ascii="Times New Roman" w:hAnsi="Times New Roman"/>
          <w:b/>
          <w:bCs/>
          <w:sz w:val="26"/>
          <w:szCs w:val="26"/>
        </w:rPr>
        <w:t>Instalación de sistemas de compostaj</w:t>
      </w:r>
      <w:r w:rsidRPr="00305C56">
        <w:rPr>
          <w:rFonts w:ascii="Calibri" w:hAnsi="Calibri" w:cs="Calibri"/>
          <w:b/>
          <w:bCs/>
          <w:sz w:val="26"/>
          <w:szCs w:val="26"/>
        </w:rPr>
        <w:t>e</w:t>
      </w:r>
      <w:r w:rsidRPr="00305C56">
        <w:rPr>
          <w:rFonts w:ascii="Times New Roman" w:hAnsi="Times New Roman"/>
          <w:b/>
          <w:bCs/>
          <w:sz w:val="26"/>
          <w:szCs w:val="26"/>
        </w:rPr>
        <w:t xml:space="preserve"> doméstico o comunitario, </w:t>
      </w:r>
      <w:r w:rsidRPr="00305C56">
        <w:rPr>
          <w:rFonts w:ascii="Times New Roman" w:hAnsi="Times New Roman"/>
          <w:sz w:val="26"/>
          <w:szCs w:val="26"/>
        </w:rPr>
        <w:t>50% de reducción de la cuota.</w:t>
      </w:r>
    </w:p>
    <w:p w14:paraId="6EF0F565" w14:textId="77777777" w:rsidR="00305C56" w:rsidRPr="00AC6A6A" w:rsidRDefault="00305C56" w:rsidP="00305C56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D030506" w14:textId="3487C162" w:rsidR="00305C56" w:rsidRPr="00305C56" w:rsidRDefault="00305C56" w:rsidP="00305C56">
      <w:pPr>
        <w:pStyle w:val="Prrafodelista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305C56">
        <w:rPr>
          <w:rFonts w:ascii="Times New Roman" w:hAnsi="Times New Roman"/>
          <w:b/>
          <w:bCs/>
          <w:sz w:val="26"/>
          <w:szCs w:val="26"/>
        </w:rPr>
        <w:t>Familias Numero</w:t>
      </w:r>
      <w:r w:rsidRPr="00305C56">
        <w:rPr>
          <w:rFonts w:ascii="Calibri" w:hAnsi="Calibri" w:cs="Calibri"/>
          <w:b/>
          <w:bCs/>
          <w:sz w:val="26"/>
          <w:szCs w:val="26"/>
        </w:rPr>
        <w:t>s</w:t>
      </w:r>
      <w:r w:rsidRPr="00305C56">
        <w:rPr>
          <w:rFonts w:ascii="Times New Roman" w:hAnsi="Times New Roman"/>
          <w:b/>
          <w:bCs/>
          <w:sz w:val="26"/>
          <w:szCs w:val="26"/>
        </w:rPr>
        <w:t xml:space="preserve">as, </w:t>
      </w:r>
      <w:r w:rsidRPr="00305C56">
        <w:rPr>
          <w:rFonts w:ascii="Times New Roman" w:hAnsi="Times New Roman"/>
          <w:sz w:val="26"/>
          <w:szCs w:val="26"/>
        </w:rPr>
        <w:t>40% cuota variable de categoría general y 60% cuota variable de categoría específica Las familias que ya disfruten de la bonificación de familia numerosa en el IBI no tendrán que presentar solicit</w:t>
      </w:r>
      <w:r w:rsidR="000D1ED8">
        <w:rPr>
          <w:rFonts w:ascii="Times New Roman" w:hAnsi="Times New Roman"/>
          <w:sz w:val="26"/>
          <w:szCs w:val="26"/>
        </w:rPr>
        <w:t>ud</w:t>
      </w:r>
      <w:r w:rsidRPr="00305C56">
        <w:rPr>
          <w:rFonts w:ascii="Times New Roman" w:hAnsi="Times New Roman"/>
          <w:sz w:val="26"/>
          <w:szCs w:val="26"/>
        </w:rPr>
        <w:t>, pues se aplica automáticamente. Aquellas que deban realizar la solicitud deben presentar el MODELO 249.</w:t>
      </w:r>
    </w:p>
    <w:p w14:paraId="67E48F38" w14:textId="77777777" w:rsidR="00305C56" w:rsidRDefault="00305C56" w:rsidP="00305C56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6574198" w14:textId="0E655D31" w:rsidR="00305C56" w:rsidRPr="00305C56" w:rsidRDefault="00305C56" w:rsidP="00305C56">
      <w:pPr>
        <w:pStyle w:val="Prrafodelista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305C56">
        <w:rPr>
          <w:rFonts w:ascii="Times New Roman" w:hAnsi="Times New Roman"/>
          <w:b/>
          <w:bCs/>
          <w:sz w:val="26"/>
          <w:szCs w:val="26"/>
        </w:rPr>
        <w:t xml:space="preserve">Eliminación de residuos alimentarios, </w:t>
      </w:r>
      <w:r w:rsidRPr="00305C56">
        <w:rPr>
          <w:rFonts w:ascii="Times New Roman" w:hAnsi="Times New Roman"/>
          <w:sz w:val="26"/>
          <w:szCs w:val="26"/>
        </w:rPr>
        <w:t xml:space="preserve">25% de reducción sobre la cuota íntegra. </w:t>
      </w:r>
    </w:p>
    <w:p w14:paraId="1C7C2D6D" w14:textId="77777777" w:rsidR="00305C56" w:rsidRDefault="00305C56" w:rsidP="00305C56">
      <w:pPr>
        <w:jc w:val="both"/>
        <w:rPr>
          <w:rFonts w:ascii="Times New Roman" w:hAnsi="Times New Roman"/>
          <w:sz w:val="26"/>
          <w:szCs w:val="26"/>
        </w:rPr>
      </w:pPr>
    </w:p>
    <w:p w14:paraId="62E773D4" w14:textId="29ABAECC" w:rsidR="00305C56" w:rsidRPr="00305C56" w:rsidRDefault="00305C56" w:rsidP="00305C56">
      <w:pPr>
        <w:pStyle w:val="Prrafodelista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305C56">
        <w:rPr>
          <w:rFonts w:ascii="Times New Roman" w:hAnsi="Times New Roman"/>
          <w:sz w:val="26"/>
          <w:szCs w:val="26"/>
        </w:rPr>
        <w:lastRenderedPageBreak/>
        <w:t>Contribuyentes que acrediten una </w:t>
      </w:r>
      <w:r w:rsidRPr="00305C56">
        <w:rPr>
          <w:rFonts w:ascii="Times New Roman" w:hAnsi="Times New Roman"/>
          <w:b/>
          <w:bCs/>
          <w:sz w:val="26"/>
          <w:szCs w:val="26"/>
        </w:rPr>
        <w:t xml:space="preserve">gestión privada de la totalidad de sus residuos, </w:t>
      </w:r>
      <w:r w:rsidRPr="00305C56">
        <w:rPr>
          <w:rFonts w:ascii="Times New Roman" w:hAnsi="Times New Roman"/>
          <w:sz w:val="26"/>
          <w:szCs w:val="26"/>
        </w:rPr>
        <w:t>100% de reducción sobre la cuota íntegra.</w:t>
      </w:r>
    </w:p>
    <w:p w14:paraId="645385EC" w14:textId="77777777" w:rsidR="00305C56" w:rsidRDefault="00305C56" w:rsidP="00305C56">
      <w:pPr>
        <w:jc w:val="both"/>
        <w:rPr>
          <w:rFonts w:ascii="Times New Roman" w:hAnsi="Times New Roman"/>
          <w:sz w:val="26"/>
          <w:szCs w:val="26"/>
        </w:rPr>
      </w:pPr>
    </w:p>
    <w:p w14:paraId="73459CE0" w14:textId="0CCAE228" w:rsidR="00305C56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  <w:r w:rsidRPr="007518AB">
        <w:rPr>
          <w:rFonts w:ascii="Times New Roman" w:hAnsi="Times New Roman"/>
          <w:bCs/>
          <w:sz w:val="26"/>
          <w:szCs w:val="26"/>
        </w:rPr>
        <w:t>Las solicitudes referidas a las bonificaciones</w:t>
      </w:r>
      <w:r w:rsidRPr="007518AB">
        <w:rPr>
          <w:rFonts w:ascii="Times New Roman" w:hAnsi="Times New Roman"/>
          <w:bCs/>
          <w:sz w:val="26"/>
          <w:szCs w:val="26"/>
        </w:rPr>
        <w:t xml:space="preserve"> de 2026</w:t>
      </w:r>
      <w:r w:rsidRPr="007518AB">
        <w:rPr>
          <w:rFonts w:ascii="Times New Roman" w:hAnsi="Times New Roman"/>
          <w:bCs/>
          <w:sz w:val="26"/>
          <w:szCs w:val="26"/>
        </w:rPr>
        <w:t xml:space="preserve"> se deberán realizar antes de que finalice el presente año</w:t>
      </w:r>
      <w:r w:rsidR="00113519">
        <w:rPr>
          <w:rFonts w:ascii="Times New Roman" w:hAnsi="Times New Roman"/>
          <w:bCs/>
          <w:sz w:val="26"/>
          <w:szCs w:val="26"/>
        </w:rPr>
        <w:t xml:space="preserve"> (30/12/2025)</w:t>
      </w:r>
      <w:r w:rsidRPr="007518AB">
        <w:rPr>
          <w:rFonts w:ascii="Times New Roman" w:hAnsi="Times New Roman"/>
          <w:bCs/>
          <w:sz w:val="26"/>
          <w:szCs w:val="26"/>
        </w:rPr>
        <w:t>, a excepción de</w:t>
      </w:r>
      <w:r w:rsidR="007518AB" w:rsidRPr="007518AB">
        <w:rPr>
          <w:rFonts w:ascii="Times New Roman" w:hAnsi="Times New Roman"/>
          <w:bCs/>
          <w:sz w:val="26"/>
          <w:szCs w:val="26"/>
        </w:rPr>
        <w:t xml:space="preserve"> la bonificación por </w:t>
      </w:r>
      <w:r w:rsidR="007518AB" w:rsidRPr="000D1ED8">
        <w:rPr>
          <w:rFonts w:ascii="Times New Roman" w:hAnsi="Times New Roman"/>
          <w:sz w:val="26"/>
          <w:szCs w:val="26"/>
        </w:rPr>
        <w:t>Eliminación de residuos alimentarios</w:t>
      </w:r>
      <w:r w:rsidR="007518AB" w:rsidRPr="000D1ED8">
        <w:rPr>
          <w:rFonts w:ascii="Times New Roman" w:hAnsi="Times New Roman"/>
          <w:sz w:val="26"/>
          <w:szCs w:val="26"/>
        </w:rPr>
        <w:t>,</w:t>
      </w:r>
      <w:r w:rsidR="007518AB" w:rsidRPr="007518A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518AB" w:rsidRPr="007518AB">
        <w:rPr>
          <w:rFonts w:ascii="Times New Roman" w:hAnsi="Times New Roman"/>
          <w:sz w:val="26"/>
          <w:szCs w:val="26"/>
        </w:rPr>
        <w:t>cuyo plazo vence el</w:t>
      </w:r>
      <w:r w:rsidRPr="007518AB">
        <w:rPr>
          <w:rFonts w:ascii="Times New Roman" w:hAnsi="Times New Roman"/>
          <w:bCs/>
          <w:sz w:val="26"/>
          <w:szCs w:val="26"/>
        </w:rPr>
        <w:t xml:space="preserve"> </w:t>
      </w:r>
      <w:r w:rsidR="007518AB" w:rsidRPr="007518AB">
        <w:rPr>
          <w:rFonts w:ascii="Times New Roman" w:hAnsi="Times New Roman"/>
          <w:bCs/>
          <w:sz w:val="26"/>
          <w:szCs w:val="26"/>
        </w:rPr>
        <w:t>31/03/2026</w:t>
      </w:r>
      <w:r w:rsidR="007518AB" w:rsidRPr="007518AB">
        <w:rPr>
          <w:rFonts w:ascii="Times New Roman" w:hAnsi="Times New Roman"/>
          <w:bCs/>
          <w:sz w:val="26"/>
          <w:szCs w:val="26"/>
        </w:rPr>
        <w:t>.</w:t>
      </w:r>
    </w:p>
    <w:p w14:paraId="50A03E07" w14:textId="77777777" w:rsidR="00305C56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</w:p>
    <w:p w14:paraId="4C765A99" w14:textId="15A82C27" w:rsidR="00305C56" w:rsidRPr="007518AB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Las bonificaciones se han de solicitar de forma anual</w:t>
      </w:r>
      <w:r w:rsidR="005A30DC">
        <w:rPr>
          <w:rFonts w:ascii="Times New Roman" w:hAnsi="Times New Roman"/>
          <w:bCs/>
          <w:sz w:val="26"/>
          <w:szCs w:val="26"/>
        </w:rPr>
        <w:t>. P</w:t>
      </w:r>
      <w:r w:rsidRPr="009724C4">
        <w:rPr>
          <w:rFonts w:ascii="Times New Roman" w:hAnsi="Times New Roman"/>
          <w:sz w:val="26"/>
          <w:szCs w:val="26"/>
        </w:rPr>
        <w:t xml:space="preserve">ara poder disfrutar de estos beneficios fiscales </w:t>
      </w:r>
      <w:r w:rsidR="007518AB">
        <w:rPr>
          <w:rFonts w:ascii="Times New Roman" w:hAnsi="Times New Roman"/>
          <w:sz w:val="26"/>
          <w:szCs w:val="26"/>
        </w:rPr>
        <w:t>el contribuyente ha</w:t>
      </w:r>
      <w:r w:rsidRPr="009724C4">
        <w:rPr>
          <w:rFonts w:ascii="Times New Roman" w:hAnsi="Times New Roman"/>
          <w:sz w:val="26"/>
          <w:szCs w:val="26"/>
        </w:rPr>
        <w:t xml:space="preserve"> de encontrarse al corriente de pago de sus obligaciones tributarias y no tributarias con el Ayuntamiento de Aranjuez a fecha de devengo del impuesto.</w:t>
      </w:r>
    </w:p>
    <w:p w14:paraId="737E7CF1" w14:textId="77777777" w:rsidR="00305C56" w:rsidRPr="009724C4" w:rsidRDefault="00305C56" w:rsidP="00305C56">
      <w:pPr>
        <w:jc w:val="both"/>
        <w:rPr>
          <w:rFonts w:ascii="Times New Roman" w:hAnsi="Times New Roman"/>
          <w:sz w:val="26"/>
          <w:szCs w:val="26"/>
        </w:rPr>
      </w:pPr>
    </w:p>
    <w:p w14:paraId="568C0FD4" w14:textId="4C57E666" w:rsidR="00305C56" w:rsidRPr="009724C4" w:rsidRDefault="00305C56" w:rsidP="00305C56">
      <w:pPr>
        <w:jc w:val="both"/>
        <w:rPr>
          <w:rFonts w:ascii="Times New Roman" w:hAnsi="Times New Roman"/>
          <w:sz w:val="26"/>
          <w:szCs w:val="26"/>
        </w:rPr>
      </w:pPr>
      <w:r w:rsidRPr="009724C4">
        <w:rPr>
          <w:rFonts w:ascii="Times New Roman" w:hAnsi="Times New Roman"/>
          <w:sz w:val="26"/>
          <w:szCs w:val="26"/>
        </w:rPr>
        <w:t xml:space="preserve">Para </w:t>
      </w:r>
      <w:r w:rsidR="007518AB">
        <w:rPr>
          <w:rFonts w:ascii="Times New Roman" w:hAnsi="Times New Roman"/>
          <w:sz w:val="26"/>
          <w:szCs w:val="26"/>
        </w:rPr>
        <w:t xml:space="preserve">la </w:t>
      </w:r>
      <w:r w:rsidRPr="009724C4">
        <w:rPr>
          <w:rFonts w:ascii="Times New Roman" w:hAnsi="Times New Roman"/>
          <w:sz w:val="26"/>
          <w:szCs w:val="26"/>
        </w:rPr>
        <w:t xml:space="preserve">solicitud </w:t>
      </w:r>
      <w:r w:rsidR="007518AB">
        <w:rPr>
          <w:rFonts w:ascii="Times New Roman" w:hAnsi="Times New Roman"/>
          <w:sz w:val="26"/>
          <w:szCs w:val="26"/>
        </w:rPr>
        <w:t xml:space="preserve">de bonificaciones </w:t>
      </w:r>
      <w:r w:rsidR="005A30DC">
        <w:rPr>
          <w:rFonts w:ascii="Times New Roman" w:hAnsi="Times New Roman"/>
          <w:sz w:val="26"/>
          <w:szCs w:val="26"/>
        </w:rPr>
        <w:t>se ha de</w:t>
      </w:r>
      <w:r w:rsidRPr="009724C4">
        <w:rPr>
          <w:rFonts w:ascii="Times New Roman" w:hAnsi="Times New Roman"/>
          <w:sz w:val="26"/>
          <w:szCs w:val="26"/>
        </w:rPr>
        <w:t xml:space="preserve"> utilizar el M</w:t>
      </w:r>
      <w:r w:rsidR="00B1697E" w:rsidRPr="009724C4">
        <w:rPr>
          <w:rFonts w:ascii="Times New Roman" w:hAnsi="Times New Roman"/>
          <w:sz w:val="26"/>
          <w:szCs w:val="26"/>
        </w:rPr>
        <w:t>odelo</w:t>
      </w:r>
      <w:r w:rsidRPr="009724C4">
        <w:rPr>
          <w:rFonts w:ascii="Times New Roman" w:hAnsi="Times New Roman"/>
          <w:sz w:val="26"/>
          <w:szCs w:val="26"/>
        </w:rPr>
        <w:t xml:space="preserve"> 249</w:t>
      </w:r>
      <w:r w:rsidR="005A30DC">
        <w:rPr>
          <w:rFonts w:ascii="Times New Roman" w:hAnsi="Times New Roman"/>
          <w:sz w:val="26"/>
          <w:szCs w:val="26"/>
        </w:rPr>
        <w:t xml:space="preserve">, disponible </w:t>
      </w:r>
      <w:r w:rsidRPr="009724C4">
        <w:rPr>
          <w:rFonts w:ascii="Times New Roman" w:hAnsi="Times New Roman"/>
          <w:sz w:val="26"/>
          <w:szCs w:val="26"/>
        </w:rPr>
        <w:t xml:space="preserve">en la web </w:t>
      </w:r>
      <w:r w:rsidRPr="007518AB">
        <w:rPr>
          <w:rFonts w:ascii="Times New Roman" w:hAnsi="Times New Roman"/>
          <w:sz w:val="26"/>
          <w:szCs w:val="26"/>
        </w:rPr>
        <w:t xml:space="preserve">municipal </w:t>
      </w:r>
      <w:r w:rsidR="00113519">
        <w:rPr>
          <w:rFonts w:ascii="Times New Roman" w:hAnsi="Times New Roman"/>
          <w:sz w:val="26"/>
          <w:szCs w:val="26"/>
        </w:rPr>
        <w:t>(</w:t>
      </w:r>
      <w:hyperlink r:id="rId7" w:history="1">
        <w:r w:rsidR="00113519" w:rsidRPr="002E5771">
          <w:rPr>
            <w:rStyle w:val="Hipervnculo"/>
            <w:rFonts w:ascii="Times New Roman" w:hAnsi="Times New Roman" w:cstheme="minorBidi"/>
            <w:sz w:val="26"/>
            <w:szCs w:val="26"/>
          </w:rPr>
          <w:t>www.aranjuez.es</w:t>
        </w:r>
      </w:hyperlink>
      <w:r w:rsidR="00113519">
        <w:rPr>
          <w:rFonts w:ascii="Times New Roman" w:hAnsi="Times New Roman"/>
          <w:sz w:val="26"/>
          <w:szCs w:val="26"/>
        </w:rPr>
        <w:t xml:space="preserve">) </w:t>
      </w:r>
      <w:r w:rsidRPr="007518AB">
        <w:rPr>
          <w:rFonts w:ascii="Times New Roman" w:hAnsi="Times New Roman"/>
          <w:sz w:val="26"/>
          <w:szCs w:val="26"/>
        </w:rPr>
        <w:t xml:space="preserve">y en la </w:t>
      </w:r>
      <w:r w:rsidR="00113519">
        <w:rPr>
          <w:rFonts w:ascii="Times New Roman" w:hAnsi="Times New Roman"/>
          <w:sz w:val="26"/>
          <w:szCs w:val="26"/>
        </w:rPr>
        <w:t>S</w:t>
      </w:r>
      <w:r w:rsidRPr="007518AB">
        <w:rPr>
          <w:rFonts w:ascii="Times New Roman" w:hAnsi="Times New Roman"/>
          <w:sz w:val="26"/>
          <w:szCs w:val="26"/>
        </w:rPr>
        <w:t xml:space="preserve">ede </w:t>
      </w:r>
      <w:r w:rsidR="00113519">
        <w:rPr>
          <w:rFonts w:ascii="Times New Roman" w:hAnsi="Times New Roman"/>
          <w:sz w:val="26"/>
          <w:szCs w:val="26"/>
        </w:rPr>
        <w:t>E</w:t>
      </w:r>
      <w:r w:rsidRPr="007518AB">
        <w:rPr>
          <w:rFonts w:ascii="Times New Roman" w:hAnsi="Times New Roman"/>
          <w:sz w:val="26"/>
          <w:szCs w:val="26"/>
        </w:rPr>
        <w:t>lectrónica.</w:t>
      </w:r>
    </w:p>
    <w:p w14:paraId="258B941D" w14:textId="77777777" w:rsidR="00305C56" w:rsidRPr="00A16663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</w:p>
    <w:p w14:paraId="76BDD81A" w14:textId="2A3DACA6" w:rsidR="00305C56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  <w:r w:rsidRPr="00A16663">
        <w:rPr>
          <w:rFonts w:ascii="Times New Roman" w:hAnsi="Times New Roman"/>
          <w:bCs/>
          <w:sz w:val="26"/>
          <w:szCs w:val="26"/>
        </w:rPr>
        <w:t>-</w:t>
      </w:r>
      <w:r w:rsidRPr="003F03C1">
        <w:rPr>
          <w:rFonts w:ascii="Times New Roman" w:hAnsi="Times New Roman"/>
          <w:b/>
          <w:sz w:val="26"/>
          <w:szCs w:val="26"/>
        </w:rPr>
        <w:tab/>
        <w:t>¿Puedo domiciliar el pago de la tasa?:</w:t>
      </w:r>
      <w:r w:rsidRPr="00A16663">
        <w:rPr>
          <w:rFonts w:ascii="Times New Roman" w:hAnsi="Times New Roman"/>
          <w:bCs/>
          <w:sz w:val="26"/>
          <w:szCs w:val="26"/>
        </w:rPr>
        <w:t xml:space="preserve"> </w:t>
      </w:r>
      <w:r w:rsidR="00113519">
        <w:rPr>
          <w:rFonts w:ascii="Times New Roman" w:hAnsi="Times New Roman"/>
          <w:bCs/>
          <w:sz w:val="26"/>
          <w:szCs w:val="26"/>
        </w:rPr>
        <w:t>La liquidación de la tasa correspondiente a 2025 no se puede domiciliar; h</w:t>
      </w:r>
      <w:r w:rsidRPr="00A16663">
        <w:rPr>
          <w:rFonts w:ascii="Times New Roman" w:hAnsi="Times New Roman"/>
          <w:bCs/>
          <w:sz w:val="26"/>
          <w:szCs w:val="26"/>
        </w:rPr>
        <w:t>a de pagarse directamente en los bancos habilitados al efecto o con su tarjeta escaneando el código QR. No obstante, ya se puede solicitar que se domicilie el pago para 2026 y siguientes, cumplimentando el Modelo 147</w:t>
      </w:r>
      <w:r w:rsidR="00B1697E">
        <w:rPr>
          <w:rFonts w:ascii="Times New Roman" w:hAnsi="Times New Roman"/>
          <w:bCs/>
          <w:sz w:val="26"/>
          <w:szCs w:val="26"/>
        </w:rPr>
        <w:t xml:space="preserve">, disponible </w:t>
      </w:r>
      <w:r w:rsidRPr="00A16663">
        <w:rPr>
          <w:rFonts w:ascii="Times New Roman" w:hAnsi="Times New Roman"/>
          <w:bCs/>
          <w:sz w:val="26"/>
          <w:szCs w:val="26"/>
        </w:rPr>
        <w:t>en la web municipal</w:t>
      </w:r>
      <w:r w:rsidR="00B1697E">
        <w:rPr>
          <w:rFonts w:ascii="Times New Roman" w:hAnsi="Times New Roman"/>
          <w:bCs/>
          <w:sz w:val="26"/>
          <w:szCs w:val="26"/>
        </w:rPr>
        <w:t xml:space="preserve"> y en la Sede Electrónica.</w:t>
      </w:r>
    </w:p>
    <w:p w14:paraId="6C1846CB" w14:textId="77777777" w:rsidR="00305C56" w:rsidRDefault="00305C56" w:rsidP="00305C56">
      <w:pPr>
        <w:jc w:val="both"/>
        <w:rPr>
          <w:rFonts w:ascii="Times New Roman" w:hAnsi="Times New Roman"/>
          <w:bCs/>
          <w:sz w:val="26"/>
          <w:szCs w:val="26"/>
        </w:rPr>
      </w:pPr>
    </w:p>
    <w:p w14:paraId="7A60C26B" w14:textId="0043B135" w:rsidR="00305C56" w:rsidRDefault="00F52C61" w:rsidP="00305C56">
      <w:pPr>
        <w:jc w:val="both"/>
        <w:rPr>
          <w:rFonts w:ascii="Times New Roman" w:hAnsi="Times New Roman"/>
          <w:bCs/>
          <w:sz w:val="26"/>
          <w:szCs w:val="26"/>
        </w:rPr>
      </w:pPr>
      <w:r w:rsidRPr="00F52C61">
        <w:rPr>
          <w:rFonts w:ascii="Times New Roman" w:hAnsi="Times New Roman"/>
          <w:bCs/>
          <w:sz w:val="26"/>
          <w:szCs w:val="26"/>
        </w:rPr>
        <w:t xml:space="preserve">Para cualquier cuestión relacionada con la </w:t>
      </w:r>
      <w:r w:rsidRPr="00F52C61">
        <w:rPr>
          <w:rFonts w:ascii="Times New Roman" w:hAnsi="Times New Roman"/>
          <w:bCs/>
          <w:sz w:val="26"/>
          <w:szCs w:val="26"/>
        </w:rPr>
        <w:t>Tasa de Gestión de Residuos</w:t>
      </w:r>
      <w:r w:rsidRPr="00F52C61">
        <w:rPr>
          <w:rFonts w:ascii="Times New Roman" w:hAnsi="Times New Roman"/>
          <w:bCs/>
          <w:sz w:val="26"/>
          <w:szCs w:val="26"/>
        </w:rPr>
        <w:t xml:space="preserve"> se ha habilitado una </w:t>
      </w:r>
      <w:r w:rsidR="00305C56" w:rsidRPr="00F52C61">
        <w:rPr>
          <w:rFonts w:ascii="Times New Roman" w:hAnsi="Times New Roman"/>
          <w:bCs/>
          <w:sz w:val="26"/>
          <w:szCs w:val="26"/>
        </w:rPr>
        <w:t>Oficina de atención</w:t>
      </w:r>
      <w:r w:rsidRPr="00F52C61">
        <w:rPr>
          <w:rFonts w:ascii="Times New Roman" w:hAnsi="Times New Roman"/>
          <w:bCs/>
          <w:sz w:val="26"/>
          <w:szCs w:val="26"/>
        </w:rPr>
        <w:t xml:space="preserve">, situada en </w:t>
      </w:r>
      <w:r w:rsidR="00595E2C">
        <w:rPr>
          <w:rFonts w:ascii="Times New Roman" w:hAnsi="Times New Roman"/>
          <w:bCs/>
          <w:sz w:val="26"/>
          <w:szCs w:val="26"/>
        </w:rPr>
        <w:t>la Oficina de Atención al Ciudadano (C/ Stuart, 79)</w:t>
      </w:r>
      <w:r w:rsidRPr="00F52C61">
        <w:rPr>
          <w:rFonts w:ascii="Times New Roman" w:hAnsi="Times New Roman"/>
          <w:bCs/>
          <w:sz w:val="26"/>
          <w:szCs w:val="26"/>
        </w:rPr>
        <w:t>, y un correo electrónico:</w:t>
      </w:r>
      <w:r w:rsidR="00305C56" w:rsidRPr="00F52C61">
        <w:rPr>
          <w:rFonts w:ascii="Times New Roman" w:hAnsi="Times New Roman"/>
          <w:bCs/>
          <w:sz w:val="26"/>
          <w:szCs w:val="26"/>
        </w:rPr>
        <w:t xml:space="preserve"> </w:t>
      </w:r>
      <w:hyperlink r:id="rId8" w:history="1">
        <w:r w:rsidR="00305C56" w:rsidRPr="00F52C61">
          <w:rPr>
            <w:rStyle w:val="Hipervnculo"/>
            <w:rFonts w:ascii="Times New Roman" w:hAnsi="Times New Roman"/>
            <w:bCs/>
            <w:sz w:val="26"/>
            <w:szCs w:val="26"/>
          </w:rPr>
          <w:t>tasaresiduos@aranjuez.es</w:t>
        </w:r>
      </w:hyperlink>
    </w:p>
    <w:p w14:paraId="0A3EF5A3" w14:textId="77777777" w:rsidR="00840C40" w:rsidRDefault="00840C40" w:rsidP="002F326D">
      <w:pPr>
        <w:rPr>
          <w:rFonts w:ascii="Helvetica" w:hAnsi="Helvetica" w:cs="Helvetica"/>
          <w:kern w:val="0"/>
          <w:lang w:val="es-ES_tradnl"/>
        </w:rPr>
      </w:pPr>
    </w:p>
    <w:p w14:paraId="2C6217E0" w14:textId="77777777" w:rsidR="00840C40" w:rsidRDefault="00840C40" w:rsidP="00095316">
      <w:pPr>
        <w:rPr>
          <w:b/>
          <w:bCs/>
        </w:rPr>
      </w:pPr>
    </w:p>
    <w:sectPr w:rsidR="00840C40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87A37" w14:textId="77777777" w:rsidR="009460E7" w:rsidRDefault="009460E7" w:rsidP="00095316">
      <w:r>
        <w:separator/>
      </w:r>
    </w:p>
  </w:endnote>
  <w:endnote w:type="continuationSeparator" w:id="0">
    <w:p w14:paraId="1C570B79" w14:textId="77777777" w:rsidR="009460E7" w:rsidRDefault="009460E7" w:rsidP="000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877E2" w14:textId="77777777" w:rsidR="009460E7" w:rsidRDefault="009460E7" w:rsidP="00095316">
      <w:r>
        <w:separator/>
      </w:r>
    </w:p>
  </w:footnote>
  <w:footnote w:type="continuationSeparator" w:id="0">
    <w:p w14:paraId="1103F42F" w14:textId="77777777" w:rsidR="009460E7" w:rsidRDefault="009460E7" w:rsidP="0009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CCD7D" w14:textId="434B9960" w:rsidR="00095316" w:rsidRDefault="00095316">
    <w:pPr>
      <w:pStyle w:val="Encabezado"/>
    </w:pPr>
  </w:p>
  <w:p w14:paraId="5CD20C77" w14:textId="77777777" w:rsidR="00095316" w:rsidRDefault="00095316">
    <w:pPr>
      <w:pStyle w:val="Encabezado"/>
    </w:pPr>
  </w:p>
  <w:p w14:paraId="2585A936" w14:textId="0F0808F4" w:rsidR="00095316" w:rsidRDefault="00095316">
    <w:pPr>
      <w:pStyle w:val="Encabezado"/>
    </w:pPr>
    <w:r>
      <w:rPr>
        <w:noProof/>
      </w:rPr>
      <w:drawing>
        <wp:inline distT="0" distB="0" distL="0" distR="0" wp14:anchorId="424C2659" wp14:editId="7E67F686">
          <wp:extent cx="1206500" cy="556846"/>
          <wp:effectExtent l="0" t="0" r="0" b="2540"/>
          <wp:docPr id="1795642229" name="Imagen 3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642229" name="Imagen 3" descr="Nombre de la empres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69" cy="57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9CF11" w14:textId="77777777" w:rsidR="00095316" w:rsidRDefault="00095316">
    <w:pPr>
      <w:pStyle w:val="Encabezado"/>
    </w:pPr>
  </w:p>
  <w:p w14:paraId="7B02DFFE" w14:textId="77777777" w:rsidR="00095316" w:rsidRDefault="000953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E76D4"/>
    <w:multiLevelType w:val="multilevel"/>
    <w:tmpl w:val="C4687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9A01C0"/>
    <w:multiLevelType w:val="multilevel"/>
    <w:tmpl w:val="9E4C581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0405967">
    <w:abstractNumId w:val="1"/>
  </w:num>
  <w:num w:numId="2" w16cid:durableId="79043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0"/>
    <w:rsid w:val="00095316"/>
    <w:rsid w:val="000B65E0"/>
    <w:rsid w:val="000D1ED8"/>
    <w:rsid w:val="00113519"/>
    <w:rsid w:val="002F326D"/>
    <w:rsid w:val="003015FC"/>
    <w:rsid w:val="00305C56"/>
    <w:rsid w:val="004117B7"/>
    <w:rsid w:val="00451DFF"/>
    <w:rsid w:val="00595E2C"/>
    <w:rsid w:val="005A30DC"/>
    <w:rsid w:val="007518AB"/>
    <w:rsid w:val="00840C40"/>
    <w:rsid w:val="00910124"/>
    <w:rsid w:val="009460E7"/>
    <w:rsid w:val="00973B9F"/>
    <w:rsid w:val="00994846"/>
    <w:rsid w:val="009F76AC"/>
    <w:rsid w:val="00B1697E"/>
    <w:rsid w:val="00C32E2C"/>
    <w:rsid w:val="00CB36E6"/>
    <w:rsid w:val="00DE7568"/>
    <w:rsid w:val="00F1531C"/>
    <w:rsid w:val="00F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0217F"/>
  <w15:docId w15:val="{BF38344B-C7C4-A247-8D1F-F04AED9A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D9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D9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D9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D935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D935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935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D935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D935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D93518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D9351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D9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D9351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93518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D935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51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D93518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518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51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518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51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0953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316"/>
  </w:style>
  <w:style w:type="paragraph" w:styleId="Piedepgina">
    <w:name w:val="footer"/>
    <w:basedOn w:val="Normal"/>
    <w:link w:val="PiedepginaCar"/>
    <w:uiPriority w:val="99"/>
    <w:unhideWhenUsed/>
    <w:rsid w:val="000953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316"/>
  </w:style>
  <w:style w:type="character" w:styleId="Hipervnculo">
    <w:name w:val="Hyperlink"/>
    <w:basedOn w:val="Fuentedeprrafopredeter"/>
    <w:uiPriority w:val="99"/>
    <w:rsid w:val="00305C56"/>
    <w:rPr>
      <w:rFonts w:cs="Times New Roman"/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aresiduos@aranjuez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njue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Rubio</dc:creator>
  <dc:description/>
  <cp:lastModifiedBy>Laura Hermosa Cabezas</cp:lastModifiedBy>
  <cp:revision>20</cp:revision>
  <dcterms:created xsi:type="dcterms:W3CDTF">2025-10-07T10:28:00Z</dcterms:created>
  <dcterms:modified xsi:type="dcterms:W3CDTF">2025-10-14T09:35:00Z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